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AA09E9">
      <w:pPr>
        <w:pStyle w:val="BodyText"/>
        <w:spacing w:after="0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EC47B6" w:rsidRDefault="00F92268" w:rsidP="00F246C7">
            <w:pPr>
              <w:pStyle w:val="RefTableData"/>
            </w:pPr>
            <w:r w:rsidRPr="00F246C7">
              <w:t>Reference number(s</w:t>
            </w:r>
            <w:r w:rsidRPr="00EC47B6">
              <w:t>)</w:t>
            </w:r>
          </w:p>
        </w:tc>
      </w:tr>
      <w:tr w:rsidR="00F92268" w:rsidRPr="00BD1CC1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487ED356" w:rsidR="00F92268" w:rsidRPr="00FF66BF" w:rsidRDefault="00BA60BC" w:rsidP="00F246C7">
            <w:pPr>
              <w:pStyle w:val="RefTableHeader"/>
            </w:pPr>
            <w:r w:rsidRPr="00BA60BC">
              <w:t>6200-A</w:t>
            </w:r>
          </w:p>
        </w:tc>
      </w:tr>
    </w:tbl>
    <w:p w14:paraId="74FBA5B4" w14:textId="77777777" w:rsidR="00051356" w:rsidRDefault="00051356" w:rsidP="00AA09E9">
      <w:pPr>
        <w:pStyle w:val="BodyText"/>
        <w:spacing w:after="0"/>
        <w:rPr>
          <w:b/>
          <w:bCs/>
          <w:sz w:val="16"/>
          <w:szCs w:val="16"/>
        </w:rPr>
        <w:sectPr w:rsidR="00051356" w:rsidSect="008165AC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402626CE" w:rsidR="004B15BB" w:rsidRPr="00BD1CC1" w:rsidRDefault="43E047CE" w:rsidP="00AA09E9">
      <w:pPr>
        <w:pStyle w:val="Heading1"/>
        <w:spacing w:after="0"/>
      </w:pPr>
      <w:r>
        <w:t>Specialty Guideline Management</w:t>
      </w:r>
      <w:r w:rsidR="00BA60BC">
        <w:br/>
      </w:r>
      <w:proofErr w:type="spellStart"/>
      <w:r>
        <w:t>Rivfloza</w:t>
      </w:r>
      <w:proofErr w:type="spellEnd"/>
    </w:p>
    <w:p w14:paraId="78861C92" w14:textId="2FA6C87E" w:rsidR="00203468" w:rsidRPr="00BD1CC1" w:rsidRDefault="00C64534" w:rsidP="008E0F0D">
      <w:pPr>
        <w:pStyle w:val="Heading2"/>
      </w:pPr>
      <w:r w:rsidRPr="00BD1CC1">
        <w:t xml:space="preserve">Products Referenced by this </w:t>
      </w:r>
      <w:r w:rsidR="00501602" w:rsidRPr="00BD1CC1">
        <w:t>Document</w:t>
      </w:r>
    </w:p>
    <w:p w14:paraId="6DDC5FDA" w14:textId="4A950FB5" w:rsidR="008137C4" w:rsidRDefault="00D82D85" w:rsidP="00BA60BC">
      <w:pPr>
        <w:pStyle w:val="BodyText"/>
      </w:pPr>
      <w:r w:rsidRPr="00BD1CC1">
        <w:t xml:space="preserve">Drugs that are listed in the </w:t>
      </w:r>
      <w:r w:rsidR="000315F1" w:rsidRPr="00BD1CC1">
        <w:t>following table</w:t>
      </w:r>
      <w:r w:rsidRPr="00BD1CC1">
        <w:t xml:space="preserve"> include both brand and generic and all dosage forms and strengths unless otherwise stated. </w:t>
      </w:r>
      <w:r w:rsidR="00CE457D">
        <w:t>Over</w:t>
      </w:r>
      <w:r w:rsidR="005D63C6">
        <w:t>-</w:t>
      </w:r>
      <w:r w:rsidR="00CE457D">
        <w:t>the</w:t>
      </w:r>
      <w:r w:rsidR="005D63C6">
        <w:t>-</w:t>
      </w:r>
      <w:r w:rsidR="00CE457D">
        <w:t>counter (</w:t>
      </w:r>
      <w:r w:rsidRPr="00BD1CC1">
        <w:t>OTC</w:t>
      </w:r>
      <w:r w:rsidR="00CE457D">
        <w:t>)</w:t>
      </w:r>
      <w:r w:rsidRPr="00BD1CC1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3A5AA0" w:rsidRPr="00BD1CC1" w14:paraId="4DA4BB29" w14:textId="77777777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35FAEEEA" w14:textId="77777777" w:rsidR="003A5AA0" w:rsidRPr="00BD1CC1" w:rsidRDefault="003A5AA0">
            <w:pPr>
              <w:pStyle w:val="TableHeader"/>
            </w:pPr>
            <w:bookmarkStart w:id="0" w:name="_Hlk159603270"/>
            <w:r w:rsidRPr="00BD1CC1">
              <w:t>Brand Name</w:t>
            </w:r>
          </w:p>
        </w:tc>
        <w:tc>
          <w:tcPr>
            <w:tcW w:w="5595" w:type="dxa"/>
            <w:vAlign w:val="center"/>
          </w:tcPr>
          <w:p w14:paraId="76AC5E25" w14:textId="77777777" w:rsidR="003A5AA0" w:rsidRPr="00BD1CC1" w:rsidRDefault="003A5AA0">
            <w:pPr>
              <w:pStyle w:val="TableHeader"/>
            </w:pPr>
            <w:r w:rsidRPr="00BD1CC1">
              <w:t>Generic Name</w:t>
            </w:r>
          </w:p>
        </w:tc>
      </w:tr>
      <w:tr w:rsidR="003A5AA0" w:rsidRPr="00BD1CC1" w14:paraId="2B95395B" w14:textId="77777777">
        <w:trPr>
          <w:cantSplit/>
        </w:trPr>
        <w:tc>
          <w:tcPr>
            <w:tcW w:w="5265" w:type="dxa"/>
          </w:tcPr>
          <w:p w14:paraId="43ACE857" w14:textId="03209147" w:rsidR="003A5AA0" w:rsidRPr="00BD1CC1" w:rsidRDefault="003A5AA0">
            <w:pPr>
              <w:pStyle w:val="TableDataUnpadded"/>
            </w:pPr>
            <w:proofErr w:type="spellStart"/>
            <w:r w:rsidRPr="003A5AA0">
              <w:t>Rivfloza</w:t>
            </w:r>
            <w:proofErr w:type="spellEnd"/>
          </w:p>
        </w:tc>
        <w:tc>
          <w:tcPr>
            <w:tcW w:w="5595" w:type="dxa"/>
          </w:tcPr>
          <w:p w14:paraId="5B5A2047" w14:textId="3A30A589" w:rsidR="003A5AA0" w:rsidRPr="00BD1CC1" w:rsidRDefault="003A5AA0">
            <w:pPr>
              <w:pStyle w:val="TableDataUnpadded"/>
            </w:pPr>
            <w:proofErr w:type="spellStart"/>
            <w:r w:rsidRPr="003A5AA0">
              <w:t>nedosiran</w:t>
            </w:r>
            <w:proofErr w:type="spellEnd"/>
          </w:p>
        </w:tc>
      </w:tr>
    </w:tbl>
    <w:bookmarkEnd w:id="0"/>
    <w:p w14:paraId="14CE6108" w14:textId="12AB887A" w:rsidR="00FC1AAD" w:rsidRPr="00C84C6C" w:rsidRDefault="00ED052F" w:rsidP="00AA2A94">
      <w:pPr>
        <w:pStyle w:val="Heading2"/>
        <w:tabs>
          <w:tab w:val="left" w:pos="9540"/>
        </w:tabs>
      </w:pPr>
      <w:r>
        <w:t>Indications</w:t>
      </w:r>
    </w:p>
    <w:p w14:paraId="07BFDA9D" w14:textId="27BEBAE8" w:rsidR="00BA60BC" w:rsidRPr="00BA60BC" w:rsidRDefault="00BA60BC" w:rsidP="00BA60BC">
      <w:pPr>
        <w:pStyle w:val="BodyText"/>
      </w:pPr>
      <w:r w:rsidRPr="00BA60BC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1629CA06" w:rsidR="00ED052F" w:rsidRDefault="00ED052F" w:rsidP="00ED052F">
      <w:pPr>
        <w:pStyle w:val="Heading3"/>
        <w:keepNext w:val="0"/>
      </w:pPr>
      <w:r w:rsidRPr="00BD1CC1">
        <w:t>FDA-</w:t>
      </w:r>
      <w:r w:rsidR="00AA09E9">
        <w:t>A</w:t>
      </w:r>
      <w:r w:rsidRPr="00BD1CC1">
        <w:t>pproved Indications</w:t>
      </w:r>
      <w:r w:rsidR="00BA60BC" w:rsidRPr="00AA09E9">
        <w:rPr>
          <w:vertAlign w:val="superscript"/>
        </w:rPr>
        <w:t>1</w:t>
      </w:r>
    </w:p>
    <w:p w14:paraId="32DAFF0A" w14:textId="76D6CB15" w:rsidR="00BA60BC" w:rsidRDefault="00BA60BC" w:rsidP="00BA60BC">
      <w:pPr>
        <w:pStyle w:val="BodyText"/>
      </w:pPr>
      <w:proofErr w:type="spellStart"/>
      <w:r>
        <w:t>Rivfloza</w:t>
      </w:r>
      <w:proofErr w:type="spellEnd"/>
      <w:r>
        <w:t xml:space="preserve"> is indicated to lower urinary oxalate levels in children </w:t>
      </w:r>
      <w:r w:rsidR="00715A9F">
        <w:t xml:space="preserve">2 </w:t>
      </w:r>
      <w:r>
        <w:t>years of age and older and adults with primary hyperoxaluria type 1 (PH1) and relatively preserved kidney function, e.g., eGFR of greater than or equal to 30 mL/min/1.73 m</w:t>
      </w:r>
      <w:r w:rsidRPr="00AA09E9">
        <w:rPr>
          <w:vertAlign w:val="superscript"/>
        </w:rPr>
        <w:t>2</w:t>
      </w:r>
      <w:r>
        <w:t>.</w:t>
      </w:r>
    </w:p>
    <w:p w14:paraId="2302E2B6" w14:textId="6A4C9765" w:rsidR="00BA60BC" w:rsidRDefault="00BA60BC" w:rsidP="00AA09E9">
      <w:pPr>
        <w:pStyle w:val="BodyText"/>
        <w:spacing w:after="0"/>
      </w:pPr>
      <w:r>
        <w:t>All other indications are considered experimental/investigational and not medically necessary.</w:t>
      </w:r>
    </w:p>
    <w:p w14:paraId="2341D0D2" w14:textId="5D3AF4EB" w:rsidR="00BA60BC" w:rsidRPr="00C84C6C" w:rsidRDefault="000D2496" w:rsidP="00BA60BC">
      <w:pPr>
        <w:pStyle w:val="Heading2"/>
        <w:rPr>
          <w:rFonts w:eastAsia="Arial"/>
        </w:rPr>
      </w:pPr>
      <w:r w:rsidRPr="00BD1CC1">
        <w:t>Documentation</w:t>
      </w:r>
    </w:p>
    <w:p w14:paraId="6EA9A606" w14:textId="64C10DCA" w:rsidR="00341D6C" w:rsidRDefault="000D2496" w:rsidP="00075414">
      <w:pPr>
        <w:pStyle w:val="BodyText"/>
      </w:pPr>
      <w:r w:rsidRPr="00017CDE">
        <w:rPr>
          <w:rStyle w:val="BodyTextChar"/>
        </w:rPr>
        <w:t>Submission of the following information is necessary to initiate the prior authorization review</w:t>
      </w:r>
      <w:r w:rsidR="00341D6C">
        <w:rPr>
          <w:rStyle w:val="BodyTextChar"/>
        </w:rPr>
        <w:t>:</w:t>
      </w:r>
    </w:p>
    <w:p w14:paraId="2180ED6E" w14:textId="39D2C2D9" w:rsidR="000D2496" w:rsidRDefault="00341D6C" w:rsidP="00017CDE">
      <w:pPr>
        <w:pStyle w:val="Heading4"/>
      </w:pPr>
      <w:r>
        <w:t>Initial requests</w:t>
      </w:r>
      <w:r w:rsidR="000D2496" w:rsidRPr="00BD1CC1">
        <w:t>:</w:t>
      </w:r>
    </w:p>
    <w:p w14:paraId="64A71F46" w14:textId="77777777" w:rsidR="00BA60BC" w:rsidRPr="00AA09E9" w:rsidRDefault="00BA60BC" w:rsidP="00AA09E9">
      <w:pPr>
        <w:pStyle w:val="ListParagraph"/>
        <w:numPr>
          <w:ilvl w:val="0"/>
          <w:numId w:val="37"/>
        </w:numPr>
      </w:pPr>
      <w:r w:rsidRPr="00AA09E9">
        <w:t xml:space="preserve">Molecular genetic test results demonstrating a mutation in the </w:t>
      </w:r>
      <w:proofErr w:type="spellStart"/>
      <w:r w:rsidRPr="00AA09E9">
        <w:t>alanine:glyoxylate</w:t>
      </w:r>
      <w:proofErr w:type="spellEnd"/>
      <w:r w:rsidRPr="00AA09E9">
        <w:t xml:space="preserve"> aminotransferase (AGXT) gene or liver enzyme analysis results demonstrating absent or significantly reduced </w:t>
      </w:r>
      <w:proofErr w:type="spellStart"/>
      <w:r w:rsidRPr="00AA09E9">
        <w:t>alanine:glyoxylate</w:t>
      </w:r>
      <w:proofErr w:type="spellEnd"/>
      <w:r w:rsidRPr="00AA09E9">
        <w:t xml:space="preserve"> aminotransferase (AGT) activity.</w:t>
      </w:r>
    </w:p>
    <w:p w14:paraId="48833E9F" w14:textId="3B912EC7" w:rsidR="00341D6C" w:rsidRDefault="00341D6C" w:rsidP="00017CDE">
      <w:pPr>
        <w:pStyle w:val="Heading4"/>
      </w:pPr>
      <w:r>
        <w:lastRenderedPageBreak/>
        <w:t>Continuation requests</w:t>
      </w:r>
      <w:r w:rsidR="000253C1">
        <w:t>:</w:t>
      </w:r>
    </w:p>
    <w:p w14:paraId="41E23D97" w14:textId="3A86BAF5" w:rsidR="00C84C6C" w:rsidRDefault="00BA60BC" w:rsidP="00BD162C">
      <w:r w:rsidRPr="00AA09E9">
        <w:t>Chart notes or medical records demonstrating a positive response to therapy</w:t>
      </w:r>
      <w:r w:rsidR="00341D6C">
        <w:t>.</w:t>
      </w:r>
    </w:p>
    <w:p w14:paraId="50A38FBA" w14:textId="288CE424" w:rsidR="00FE0C63" w:rsidRPr="00C84C6C" w:rsidRDefault="00685107" w:rsidP="00E050E1">
      <w:pPr>
        <w:pStyle w:val="Heading2"/>
      </w:pPr>
      <w:r>
        <w:t>Coverage Criteria</w:t>
      </w:r>
    </w:p>
    <w:p w14:paraId="3983E0AA" w14:textId="3D22AACF" w:rsidR="00BA60BC" w:rsidRDefault="00BA60BC" w:rsidP="00BA60BC">
      <w:pPr>
        <w:pStyle w:val="Heading3"/>
      </w:pPr>
      <w:r>
        <w:t xml:space="preserve">Primary </w:t>
      </w:r>
      <w:r w:rsidR="00AA09E9">
        <w:t>Hyperoxaluria Type 1 (</w:t>
      </w:r>
      <w:r>
        <w:t>PH1</w:t>
      </w:r>
      <w:r w:rsidR="00AA09E9">
        <w:t>)</w:t>
      </w:r>
      <w:r w:rsidR="00AA09E9" w:rsidRPr="00AA09E9">
        <w:rPr>
          <w:vertAlign w:val="superscript"/>
        </w:rPr>
        <w:t>1-3</w:t>
      </w:r>
    </w:p>
    <w:p w14:paraId="58CAEFD5" w14:textId="134EAE81" w:rsidR="00BA60BC" w:rsidRDefault="00BA60BC" w:rsidP="00BA60BC">
      <w:pPr>
        <w:pStyle w:val="BodyText"/>
      </w:pPr>
      <w:r>
        <w:t>Authorization of 12 months may be granted for the treatment of primary hyperoxaluria type 1 (PH1) when all of the following criteria are met:</w:t>
      </w:r>
    </w:p>
    <w:p w14:paraId="62725955" w14:textId="2939D53F" w:rsidR="00BA60BC" w:rsidRPr="00AA09E9" w:rsidRDefault="00BA60BC" w:rsidP="00AA09E9">
      <w:pPr>
        <w:pStyle w:val="ListParagraph"/>
        <w:numPr>
          <w:ilvl w:val="0"/>
          <w:numId w:val="20"/>
        </w:numPr>
      </w:pPr>
      <w:r w:rsidRPr="00AA09E9">
        <w:t xml:space="preserve">Member is </w:t>
      </w:r>
      <w:r w:rsidR="00715A9F">
        <w:t>2</w:t>
      </w:r>
      <w:r w:rsidR="00715A9F" w:rsidRPr="00AA09E9">
        <w:t xml:space="preserve"> </w:t>
      </w:r>
      <w:r w:rsidRPr="00AA09E9">
        <w:t>years of age or older.</w:t>
      </w:r>
    </w:p>
    <w:p w14:paraId="20ACA037" w14:textId="57D9F3A9" w:rsidR="00BA60BC" w:rsidRPr="00AA09E9" w:rsidRDefault="00BA60BC" w:rsidP="00AA09E9">
      <w:pPr>
        <w:pStyle w:val="ListParagraph"/>
        <w:numPr>
          <w:ilvl w:val="0"/>
          <w:numId w:val="20"/>
        </w:numPr>
      </w:pPr>
      <w:r w:rsidRPr="00AA09E9">
        <w:t>Member has a diagnosis of PH1 confirmed by either of the following:</w:t>
      </w:r>
    </w:p>
    <w:p w14:paraId="40B5C3CD" w14:textId="77777777" w:rsidR="00BA60BC" w:rsidRPr="00AA09E9" w:rsidRDefault="00BA60BC" w:rsidP="00AA09E9">
      <w:pPr>
        <w:pStyle w:val="ListParagraph"/>
        <w:numPr>
          <w:ilvl w:val="1"/>
          <w:numId w:val="20"/>
        </w:numPr>
      </w:pPr>
      <w:r w:rsidRPr="00AA09E9">
        <w:t xml:space="preserve">Molecular genetic test results demonstrating a mutation in the </w:t>
      </w:r>
      <w:proofErr w:type="spellStart"/>
      <w:r w:rsidRPr="00AA09E9">
        <w:t>alanine:glyoxylate</w:t>
      </w:r>
      <w:proofErr w:type="spellEnd"/>
      <w:r w:rsidRPr="00AA09E9">
        <w:t xml:space="preserve"> aminotransferase (AGXT) gene.</w:t>
      </w:r>
    </w:p>
    <w:p w14:paraId="49421B81" w14:textId="182577DA" w:rsidR="00BA60BC" w:rsidRPr="00AA09E9" w:rsidRDefault="00BA60BC" w:rsidP="00AA09E9">
      <w:pPr>
        <w:pStyle w:val="ListParagraph"/>
        <w:numPr>
          <w:ilvl w:val="1"/>
          <w:numId w:val="20"/>
        </w:numPr>
      </w:pPr>
      <w:r w:rsidRPr="00AA09E9">
        <w:t xml:space="preserve">Liver enzyme analysis results demonstrating absent or significantly reduced </w:t>
      </w:r>
      <w:proofErr w:type="spellStart"/>
      <w:r w:rsidRPr="00AA09E9">
        <w:t>alanine:glyoxylate</w:t>
      </w:r>
      <w:proofErr w:type="spellEnd"/>
      <w:r w:rsidRPr="00AA09E9">
        <w:t xml:space="preserve"> aminotransferase (AGT) activity.</w:t>
      </w:r>
    </w:p>
    <w:p w14:paraId="2FDDB79E" w14:textId="77777777" w:rsidR="00BA60BC" w:rsidRPr="00AA09E9" w:rsidRDefault="00BA60BC" w:rsidP="00AA09E9">
      <w:pPr>
        <w:pStyle w:val="ListParagraph"/>
        <w:numPr>
          <w:ilvl w:val="0"/>
          <w:numId w:val="20"/>
        </w:numPr>
      </w:pPr>
      <w:r w:rsidRPr="00AA09E9">
        <w:t>Member has relatively preserved kidney function (e.g., eGFR of greater than or equal to 30 mL/min/1.73 m</w:t>
      </w:r>
      <w:r w:rsidRPr="00AA09E9">
        <w:rPr>
          <w:vertAlign w:val="superscript"/>
        </w:rPr>
        <w:t>2</w:t>
      </w:r>
      <w:r w:rsidRPr="00AA09E9">
        <w:t xml:space="preserve">). </w:t>
      </w:r>
    </w:p>
    <w:p w14:paraId="7645956B" w14:textId="67D9ED41" w:rsidR="00BA60BC" w:rsidRPr="00AA09E9" w:rsidRDefault="00BA60BC" w:rsidP="00AA09E9">
      <w:pPr>
        <w:pStyle w:val="ListParagraph"/>
        <w:numPr>
          <w:ilvl w:val="0"/>
          <w:numId w:val="20"/>
        </w:numPr>
      </w:pPr>
      <w:r w:rsidRPr="00AA09E9">
        <w:t>The requested medication will not be used in combination with lumasiran.</w:t>
      </w:r>
    </w:p>
    <w:p w14:paraId="3A643EC3" w14:textId="3422726F" w:rsidR="00A501AC" w:rsidRPr="00C84C6C" w:rsidRDefault="00A501AC" w:rsidP="00A501AC">
      <w:pPr>
        <w:pStyle w:val="Heading2"/>
      </w:pPr>
      <w:r w:rsidRPr="00BD1CC1">
        <w:t>Continuation of Therapy</w:t>
      </w:r>
    </w:p>
    <w:p w14:paraId="02F5B54E" w14:textId="3C051236" w:rsidR="00BA60BC" w:rsidRPr="00BA60BC" w:rsidRDefault="00BA60BC" w:rsidP="00BA60BC">
      <w:pPr>
        <w:pStyle w:val="BodyText"/>
      </w:pPr>
      <w:r w:rsidRPr="00BA60BC">
        <w:t>Authorization of 12 months may be granted</w:t>
      </w:r>
      <w:bookmarkStart w:id="1" w:name="_Hlk180045690"/>
      <w:r w:rsidRPr="00BA60BC">
        <w:t xml:space="preserve"> </w:t>
      </w:r>
      <w:bookmarkEnd w:id="1"/>
      <w:r w:rsidRPr="00BA60BC">
        <w:t>for members who meet all requirements in the coverage criteria section and demonstrate a positive response to therapy (e.g., decrease or normalization in urinary and/or plasma oxalate levels, improvement in kidney function).</w:t>
      </w:r>
    </w:p>
    <w:p w14:paraId="10DA4309" w14:textId="3BD74178" w:rsidR="00FF66BF" w:rsidRPr="008D1B34" w:rsidRDefault="00FF66BF" w:rsidP="00FF66BF">
      <w:pPr>
        <w:pStyle w:val="Heading2"/>
      </w:pPr>
      <w:r w:rsidRPr="008D1B34">
        <w:t>References</w:t>
      </w:r>
    </w:p>
    <w:p w14:paraId="4AEF8073" w14:textId="36E95B7A" w:rsidR="00BA60BC" w:rsidRPr="00AA09E9" w:rsidRDefault="00BA60BC" w:rsidP="00AA09E9">
      <w:pPr>
        <w:pStyle w:val="ReferenceOrdered"/>
      </w:pPr>
      <w:proofErr w:type="spellStart"/>
      <w:r w:rsidRPr="00AA09E9">
        <w:t>Rivfloza</w:t>
      </w:r>
      <w:proofErr w:type="spellEnd"/>
      <w:r w:rsidR="000206F6">
        <w:t xml:space="preserve"> </w:t>
      </w:r>
      <w:r w:rsidRPr="00AA09E9">
        <w:t xml:space="preserve">[package insert]. Lexington, MA: </w:t>
      </w:r>
      <w:proofErr w:type="spellStart"/>
      <w:r w:rsidRPr="00AA09E9">
        <w:t>Dicerna</w:t>
      </w:r>
      <w:proofErr w:type="spellEnd"/>
      <w:r w:rsidRPr="00AA09E9">
        <w:t xml:space="preserve"> Pharmaceuticals, Inc.; </w:t>
      </w:r>
      <w:r w:rsidR="002B75C9">
        <w:t>March</w:t>
      </w:r>
      <w:r w:rsidR="002B75C9" w:rsidRPr="00AA09E9">
        <w:t xml:space="preserve"> 202</w:t>
      </w:r>
      <w:r w:rsidR="002B75C9">
        <w:t>5</w:t>
      </w:r>
      <w:r w:rsidRPr="00AA09E9">
        <w:t>.</w:t>
      </w:r>
    </w:p>
    <w:p w14:paraId="611FA1D4" w14:textId="083E481A" w:rsidR="00BA60BC" w:rsidRPr="00AA09E9" w:rsidRDefault="00BA60BC" w:rsidP="00AA09E9">
      <w:pPr>
        <w:pStyle w:val="ReferenceOrdered"/>
      </w:pPr>
      <w:proofErr w:type="spellStart"/>
      <w:r w:rsidRPr="00AA09E9">
        <w:t>Niaudet</w:t>
      </w:r>
      <w:proofErr w:type="spellEnd"/>
      <w:r w:rsidRPr="00AA09E9">
        <w:t xml:space="preserve">, P. Primary hyperoxaluria. In: UpToDate, Post, TW (Ed), UpToDate, Waltham, MA, </w:t>
      </w:r>
      <w:r w:rsidR="002657D1" w:rsidRPr="00AA09E9">
        <w:t>202</w:t>
      </w:r>
      <w:r w:rsidR="002657D1">
        <w:t>4</w:t>
      </w:r>
      <w:r w:rsidRPr="00AA09E9">
        <w:t>.</w:t>
      </w:r>
    </w:p>
    <w:p w14:paraId="47E1A10C" w14:textId="5AF48208" w:rsidR="00C44990" w:rsidRPr="00112C8E" w:rsidRDefault="00BA60BC" w:rsidP="007513D6">
      <w:pPr>
        <w:pStyle w:val="ReferenceOrdered"/>
      </w:pPr>
      <w:r w:rsidRPr="00AA09E9">
        <w:t>Milliner DS. The primary hyperoxalurias: an algorithm for diagnosis. Am J Nephrol 2005; 25:154.</w:t>
      </w:r>
    </w:p>
    <w:sectPr w:rsidR="00C44990" w:rsidRPr="00112C8E" w:rsidSect="00075414">
      <w:type w:val="continuous"/>
      <w:pgSz w:w="12240" w:h="15840" w:code="1"/>
      <w:pgMar w:top="900" w:right="720" w:bottom="851" w:left="720" w:header="720" w:footer="283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2E09DF" w14:textId="77777777" w:rsidR="00B97D25" w:rsidRDefault="00B97D25">
      <w:r>
        <w:separator/>
      </w:r>
    </w:p>
  </w:endnote>
  <w:endnote w:type="continuationSeparator" w:id="0">
    <w:p w14:paraId="352BB2F1" w14:textId="77777777" w:rsidR="00B97D25" w:rsidRDefault="00B97D25">
      <w:r>
        <w:continuationSeparator/>
      </w:r>
    </w:p>
  </w:endnote>
  <w:endnote w:type="continuationNotice" w:id="1">
    <w:p w14:paraId="0E9BFE46" w14:textId="77777777" w:rsidR="00B97D25" w:rsidRDefault="00B97D2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449A3134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885B9B" w:rsidRPr="00885B9B">
      <w:rPr>
        <w:rFonts w:cs="Arial"/>
        <w:noProof/>
        <w:sz w:val="16"/>
        <w:szCs w:val="16"/>
      </w:rPr>
      <w:t>Rivfloza</w:t>
    </w:r>
    <w:r w:rsidR="00885B9B">
      <w:rPr>
        <w:rFonts w:cs="Arial"/>
        <w:noProof/>
        <w:snapToGrid w:val="0"/>
        <w:color w:val="000000"/>
        <w:sz w:val="16"/>
        <w:szCs w:val="16"/>
      </w:rPr>
      <w:t xml:space="preserve"> SGM 6200-A</w:t>
    </w:r>
    <w:r w:rsidR="00885B9B" w:rsidRPr="00885B9B">
      <w:rPr>
        <w:rFonts w:cs="Arial"/>
        <w:noProof/>
        <w:sz w:val="16"/>
        <w:szCs w:val="16"/>
      </w:rPr>
      <w:t xml:space="preserve"> P2024a.docx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8B6DBE" w:rsidRPr="00EC47B6">
      <w:rPr>
        <w:rFonts w:cs="Arial"/>
        <w:snapToGrid w:val="0"/>
        <w:color w:val="000000"/>
        <w:sz w:val="16"/>
      </w:rPr>
      <w:t>4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1CF5924" w14:textId="273C33EB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A9BA154" w14:textId="77777777" w:rsidR="00C36B72" w:rsidRPr="00EC47B6" w:rsidRDefault="00C36B72" w:rsidP="00C36B72">
    <w:pPr>
      <w:autoSpaceDE w:val="0"/>
      <w:autoSpaceDN w:val="0"/>
      <w:adjustRightInd w:val="0"/>
      <w:jc w:val="center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2C404FE4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3A5AA0">
      <w:rPr>
        <w:rFonts w:cs="Arial"/>
        <w:noProof/>
        <w:snapToGrid w:val="0"/>
        <w:color w:val="000000"/>
        <w:sz w:val="16"/>
        <w:szCs w:val="16"/>
        <w:lang w:val="pt-PT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885B9B" w:rsidRPr="00885B9B">
      <w:rPr>
        <w:rFonts w:cs="Arial"/>
        <w:noProof/>
        <w:sz w:val="16"/>
        <w:szCs w:val="16"/>
        <w:lang w:val="pt-PT"/>
      </w:rPr>
      <w:t>Rivfloza</w:t>
    </w:r>
    <w:r w:rsidR="00885B9B">
      <w:rPr>
        <w:rFonts w:cs="Arial"/>
        <w:noProof/>
        <w:snapToGrid w:val="0"/>
        <w:color w:val="000000"/>
        <w:sz w:val="16"/>
        <w:szCs w:val="16"/>
        <w:lang w:val="pt-PT"/>
      </w:rPr>
      <w:t xml:space="preserve"> SGM 6200-A</w:t>
    </w:r>
    <w:r w:rsidR="00885B9B" w:rsidRPr="00885B9B">
      <w:rPr>
        <w:rFonts w:cs="Arial"/>
        <w:noProof/>
        <w:sz w:val="16"/>
        <w:szCs w:val="16"/>
        <w:lang w:val="pt-PT"/>
      </w:rPr>
      <w:t xml:space="preserve"> P2024a.docx</w:t>
    </w:r>
    <w:r w:rsidRPr="00EC47B6">
      <w:rPr>
        <w:rFonts w:cs="Arial"/>
        <w:noProof/>
        <w:sz w:val="16"/>
        <w:szCs w:val="16"/>
      </w:rPr>
      <w:fldChar w:fldCharType="end"/>
    </w:r>
    <w:r w:rsidRPr="003A5AA0">
      <w:rPr>
        <w:rFonts w:cs="Arial"/>
        <w:snapToGrid w:val="0"/>
        <w:color w:val="000000"/>
        <w:sz w:val="16"/>
        <w:lang w:val="pt-PT"/>
      </w:rPr>
      <w:tab/>
      <w:t>© 202</w:t>
    </w:r>
    <w:r w:rsidR="00D74279" w:rsidRPr="003A5AA0">
      <w:rPr>
        <w:rFonts w:cs="Arial"/>
        <w:snapToGrid w:val="0"/>
        <w:color w:val="000000"/>
        <w:sz w:val="16"/>
        <w:lang w:val="pt-PT"/>
      </w:rPr>
      <w:t>4</w:t>
    </w:r>
    <w:r w:rsidRPr="003A5AA0">
      <w:rPr>
        <w:rFonts w:cs="Arial"/>
        <w:snapToGrid w:val="0"/>
        <w:color w:val="000000"/>
        <w:sz w:val="16"/>
        <w:lang w:val="pt-PT"/>
      </w:rPr>
      <w:t xml:space="preserve"> CVS Caremark. </w:t>
    </w:r>
    <w:r w:rsidRPr="00EC47B6">
      <w:rPr>
        <w:rFonts w:cs="Arial"/>
        <w:snapToGrid w:val="0"/>
        <w:color w:val="000000"/>
        <w:sz w:val="16"/>
      </w:rPr>
      <w:t>All rights reserved.</w:t>
    </w:r>
  </w:p>
  <w:p w14:paraId="39BFE579" w14:textId="4F6D6E04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0DBE0FB6" w:rsidR="00ED04EC" w:rsidRPr="00690F0D" w:rsidRDefault="00F50D98" w:rsidP="00690F0D">
    <w:pPr>
      <w:autoSpaceDE w:val="0"/>
      <w:autoSpaceDN w:val="0"/>
      <w:adjustRightInd w:val="0"/>
      <w:jc w:val="center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46E0E4" w14:textId="77777777" w:rsidR="00B97D25" w:rsidRDefault="00B97D25">
      <w:r>
        <w:separator/>
      </w:r>
    </w:p>
  </w:footnote>
  <w:footnote w:type="continuationSeparator" w:id="0">
    <w:p w14:paraId="288232A8" w14:textId="77777777" w:rsidR="00B97D25" w:rsidRDefault="00B97D25">
      <w:r>
        <w:continuationSeparator/>
      </w:r>
    </w:p>
  </w:footnote>
  <w:footnote w:type="continuationNotice" w:id="1">
    <w:p w14:paraId="52CFE8B1" w14:textId="77777777" w:rsidR="00B97D25" w:rsidRDefault="00B97D2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3A5AA0" w:rsidRDefault="00ED04EC" w:rsidP="00ED04EC">
          <w:pPr>
            <w:pStyle w:val="Header"/>
            <w:rPr>
              <w:rFonts w:cs="Arial"/>
              <w:sz w:val="16"/>
              <w:szCs w:val="16"/>
            </w:rPr>
          </w:pPr>
          <w:r w:rsidRPr="003A5AA0">
            <w:rPr>
              <w:rFonts w:cs="Arial"/>
              <w:sz w:val="16"/>
              <w:szCs w:val="16"/>
            </w:rPr>
            <w:t>Reference number(s)</w:t>
          </w:r>
        </w:p>
      </w:tc>
    </w:tr>
    <w:tr w:rsidR="00ED04EC" w:rsidRPr="00ED04EC" w14:paraId="703C6588" w14:textId="77777777">
      <w:trPr>
        <w:trHeight w:val="378"/>
        <w:jc w:val="right"/>
      </w:trPr>
      <w:tc>
        <w:tcPr>
          <w:tcW w:w="1854" w:type="dxa"/>
          <w:hideMark/>
        </w:tcPr>
        <w:p w14:paraId="51CE3E64" w14:textId="11D65C84" w:rsidR="00ED04EC" w:rsidRPr="003A5AA0" w:rsidRDefault="00BA60BC" w:rsidP="00ED04EC">
          <w:pPr>
            <w:pStyle w:val="Header"/>
            <w:rPr>
              <w:rFonts w:cs="Arial"/>
              <w:sz w:val="16"/>
              <w:szCs w:val="16"/>
            </w:rPr>
          </w:pPr>
          <w:r w:rsidRPr="003A5AA0">
            <w:rPr>
              <w:rFonts w:cs="Arial"/>
              <w:sz w:val="16"/>
              <w:szCs w:val="16"/>
            </w:rPr>
            <w:t>6200-A</w:t>
          </w:r>
        </w:p>
      </w:tc>
    </w:tr>
  </w:tbl>
  <w:p w14:paraId="0D5ACCC2" w14:textId="462A1075" w:rsidR="00ED04EC" w:rsidRPr="003A5AA0" w:rsidRDefault="00ED04EC" w:rsidP="00B02279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8D2034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5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EB2BA0"/>
    <w:multiLevelType w:val="hybridMultilevel"/>
    <w:tmpl w:val="9C1C889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5D5EF2"/>
    <w:multiLevelType w:val="hybridMultilevel"/>
    <w:tmpl w:val="62BAFE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CA2D08"/>
    <w:multiLevelType w:val="hybridMultilevel"/>
    <w:tmpl w:val="6D1425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065E8A"/>
    <w:multiLevelType w:val="hybridMultilevel"/>
    <w:tmpl w:val="3B466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526F81"/>
    <w:multiLevelType w:val="hybridMultilevel"/>
    <w:tmpl w:val="12546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C72CC2"/>
    <w:multiLevelType w:val="hybridMultilevel"/>
    <w:tmpl w:val="7E645A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6124DD"/>
    <w:multiLevelType w:val="hybridMultilevel"/>
    <w:tmpl w:val="B562E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2"/>
  </w:num>
  <w:num w:numId="2" w16cid:durableId="606935877">
    <w:abstractNumId w:val="29"/>
  </w:num>
  <w:num w:numId="3" w16cid:durableId="611589570">
    <w:abstractNumId w:val="25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3"/>
  </w:num>
  <w:num w:numId="15" w16cid:durableId="616722934">
    <w:abstractNumId w:val="10"/>
  </w:num>
  <w:num w:numId="16" w16cid:durableId="898320195">
    <w:abstractNumId w:val="19"/>
  </w:num>
  <w:num w:numId="17" w16cid:durableId="2128498676">
    <w:abstractNumId w:val="31"/>
  </w:num>
  <w:num w:numId="18" w16cid:durableId="299724409">
    <w:abstractNumId w:val="26"/>
  </w:num>
  <w:num w:numId="19" w16cid:durableId="214585573">
    <w:abstractNumId w:val="14"/>
  </w:num>
  <w:num w:numId="20" w16cid:durableId="1289816170">
    <w:abstractNumId w:val="15"/>
  </w:num>
  <w:num w:numId="21" w16cid:durableId="1066490929">
    <w:abstractNumId w:val="32"/>
  </w:num>
  <w:num w:numId="22" w16cid:durableId="1472481103">
    <w:abstractNumId w:val="28"/>
  </w:num>
  <w:num w:numId="23" w16cid:durableId="1997420403">
    <w:abstractNumId w:val="30"/>
  </w:num>
  <w:num w:numId="24" w16cid:durableId="33312838">
    <w:abstractNumId w:val="27"/>
  </w:num>
  <w:num w:numId="25" w16cid:durableId="507404939">
    <w:abstractNumId w:val="18"/>
  </w:num>
  <w:num w:numId="26" w16cid:durableId="1950313333">
    <w:abstractNumId w:val="24"/>
  </w:num>
  <w:num w:numId="27" w16cid:durableId="1866016584">
    <w:abstractNumId w:val="21"/>
  </w:num>
  <w:num w:numId="28" w16cid:durableId="1119497814">
    <w:abstractNumId w:val="23"/>
  </w:num>
  <w:num w:numId="29" w16cid:durableId="1580481932">
    <w:abstractNumId w:val="32"/>
  </w:num>
  <w:num w:numId="30" w16cid:durableId="1199586252">
    <w:abstractNumId w:val="20"/>
  </w:num>
  <w:num w:numId="31" w16cid:durableId="1862476445">
    <w:abstractNumId w:val="32"/>
  </w:num>
  <w:num w:numId="32" w16cid:durableId="113326484">
    <w:abstractNumId w:val="16"/>
  </w:num>
  <w:num w:numId="33" w16cid:durableId="565149574">
    <w:abstractNumId w:val="32"/>
  </w:num>
  <w:num w:numId="34" w16cid:durableId="214974716">
    <w:abstractNumId w:val="22"/>
  </w:num>
  <w:num w:numId="35" w16cid:durableId="2133861183">
    <w:abstractNumId w:val="32"/>
  </w:num>
  <w:num w:numId="36" w16cid:durableId="1877043791">
    <w:abstractNumId w:val="17"/>
  </w:num>
  <w:num w:numId="37" w16cid:durableId="1106119119">
    <w:abstractNumId w:val="1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CDE"/>
    <w:rsid w:val="00017EE8"/>
    <w:rsid w:val="000200D2"/>
    <w:rsid w:val="000203D2"/>
    <w:rsid w:val="000206F6"/>
    <w:rsid w:val="00020F76"/>
    <w:rsid w:val="0002111C"/>
    <w:rsid w:val="00021A0A"/>
    <w:rsid w:val="00021C51"/>
    <w:rsid w:val="00021F62"/>
    <w:rsid w:val="00022D21"/>
    <w:rsid w:val="000231A5"/>
    <w:rsid w:val="0002338D"/>
    <w:rsid w:val="00024BB4"/>
    <w:rsid w:val="00024E30"/>
    <w:rsid w:val="000253C1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226E"/>
    <w:rsid w:val="000425B0"/>
    <w:rsid w:val="00043056"/>
    <w:rsid w:val="0004480D"/>
    <w:rsid w:val="00044A1D"/>
    <w:rsid w:val="00046912"/>
    <w:rsid w:val="00046BD3"/>
    <w:rsid w:val="00046C3C"/>
    <w:rsid w:val="0004753B"/>
    <w:rsid w:val="00047680"/>
    <w:rsid w:val="00047C5A"/>
    <w:rsid w:val="0005032B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4D9B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414"/>
    <w:rsid w:val="000755C3"/>
    <w:rsid w:val="00075C18"/>
    <w:rsid w:val="000760A2"/>
    <w:rsid w:val="000760F2"/>
    <w:rsid w:val="000767AE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87DB9"/>
    <w:rsid w:val="00090142"/>
    <w:rsid w:val="00090C1B"/>
    <w:rsid w:val="000913DE"/>
    <w:rsid w:val="00091E1D"/>
    <w:rsid w:val="0009326E"/>
    <w:rsid w:val="00093AB5"/>
    <w:rsid w:val="00094A59"/>
    <w:rsid w:val="00095B9C"/>
    <w:rsid w:val="0009781E"/>
    <w:rsid w:val="000A0CCE"/>
    <w:rsid w:val="000A1653"/>
    <w:rsid w:val="000A1ACD"/>
    <w:rsid w:val="000A1DE9"/>
    <w:rsid w:val="000A2697"/>
    <w:rsid w:val="000A34B0"/>
    <w:rsid w:val="000A3543"/>
    <w:rsid w:val="000A42D7"/>
    <w:rsid w:val="000A5AE5"/>
    <w:rsid w:val="000A6C30"/>
    <w:rsid w:val="000A71EC"/>
    <w:rsid w:val="000A72BA"/>
    <w:rsid w:val="000A7D51"/>
    <w:rsid w:val="000B0F9D"/>
    <w:rsid w:val="000B104D"/>
    <w:rsid w:val="000B1961"/>
    <w:rsid w:val="000B20CD"/>
    <w:rsid w:val="000B40A1"/>
    <w:rsid w:val="000B579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0E9"/>
    <w:rsid w:val="000D7ED8"/>
    <w:rsid w:val="000E0438"/>
    <w:rsid w:val="000E095D"/>
    <w:rsid w:val="000E0C62"/>
    <w:rsid w:val="000E1B54"/>
    <w:rsid w:val="000E24FA"/>
    <w:rsid w:val="000E2ECC"/>
    <w:rsid w:val="000E37E4"/>
    <w:rsid w:val="000E3A1B"/>
    <w:rsid w:val="000E3DD4"/>
    <w:rsid w:val="000E45D6"/>
    <w:rsid w:val="000E65C5"/>
    <w:rsid w:val="000E6D53"/>
    <w:rsid w:val="000E7263"/>
    <w:rsid w:val="000E7B01"/>
    <w:rsid w:val="000E7C60"/>
    <w:rsid w:val="000F0722"/>
    <w:rsid w:val="000F0AC9"/>
    <w:rsid w:val="000F1039"/>
    <w:rsid w:val="000F1FBC"/>
    <w:rsid w:val="000F2A45"/>
    <w:rsid w:val="000F2CC4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0B91"/>
    <w:rsid w:val="001012A6"/>
    <w:rsid w:val="00101748"/>
    <w:rsid w:val="00101C90"/>
    <w:rsid w:val="00101D40"/>
    <w:rsid w:val="00103111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2C8E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752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C59"/>
    <w:rsid w:val="00175F8E"/>
    <w:rsid w:val="00176167"/>
    <w:rsid w:val="00176A70"/>
    <w:rsid w:val="0017701E"/>
    <w:rsid w:val="00177020"/>
    <w:rsid w:val="00177951"/>
    <w:rsid w:val="0018072F"/>
    <w:rsid w:val="00180A53"/>
    <w:rsid w:val="00181BB0"/>
    <w:rsid w:val="00182BBD"/>
    <w:rsid w:val="00182C96"/>
    <w:rsid w:val="001837BD"/>
    <w:rsid w:val="00183B46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97A9A"/>
    <w:rsid w:val="001A0E7C"/>
    <w:rsid w:val="001A2781"/>
    <w:rsid w:val="001A2987"/>
    <w:rsid w:val="001A320A"/>
    <w:rsid w:val="001A33ED"/>
    <w:rsid w:val="001A432B"/>
    <w:rsid w:val="001A432C"/>
    <w:rsid w:val="001A4C1C"/>
    <w:rsid w:val="001A4DBB"/>
    <w:rsid w:val="001A55B8"/>
    <w:rsid w:val="001A576D"/>
    <w:rsid w:val="001A57C5"/>
    <w:rsid w:val="001A6053"/>
    <w:rsid w:val="001A7761"/>
    <w:rsid w:val="001B0CED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D43"/>
    <w:rsid w:val="00207EA9"/>
    <w:rsid w:val="00210959"/>
    <w:rsid w:val="00211DE1"/>
    <w:rsid w:val="00211FCA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8F1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502A3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7D1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9B8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5C9"/>
    <w:rsid w:val="002B7A9E"/>
    <w:rsid w:val="002B7CD0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39D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850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822"/>
    <w:rsid w:val="002F2FA8"/>
    <w:rsid w:val="002F311C"/>
    <w:rsid w:val="002F335A"/>
    <w:rsid w:val="002F51A5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75"/>
    <w:rsid w:val="00307499"/>
    <w:rsid w:val="00307DCC"/>
    <w:rsid w:val="003116A8"/>
    <w:rsid w:val="0031275A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D6C"/>
    <w:rsid w:val="00341F47"/>
    <w:rsid w:val="00342365"/>
    <w:rsid w:val="00343BE2"/>
    <w:rsid w:val="00343E90"/>
    <w:rsid w:val="00345D48"/>
    <w:rsid w:val="003468AA"/>
    <w:rsid w:val="00346D5D"/>
    <w:rsid w:val="00346FA2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992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94A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97160"/>
    <w:rsid w:val="003A0693"/>
    <w:rsid w:val="003A2056"/>
    <w:rsid w:val="003A2E60"/>
    <w:rsid w:val="003A4B3A"/>
    <w:rsid w:val="003A5707"/>
    <w:rsid w:val="003A5AA0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19B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D70F3"/>
    <w:rsid w:val="003E1C0F"/>
    <w:rsid w:val="003E260D"/>
    <w:rsid w:val="003E28D8"/>
    <w:rsid w:val="003E3201"/>
    <w:rsid w:val="003E3F3B"/>
    <w:rsid w:val="003E473E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23B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172BF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1CD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2A"/>
    <w:rsid w:val="00454A31"/>
    <w:rsid w:val="00455C55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4FE"/>
    <w:rsid w:val="004A5DC0"/>
    <w:rsid w:val="004A603F"/>
    <w:rsid w:val="004A64E5"/>
    <w:rsid w:val="004A6AB4"/>
    <w:rsid w:val="004A7239"/>
    <w:rsid w:val="004A75B0"/>
    <w:rsid w:val="004A78CD"/>
    <w:rsid w:val="004A7A22"/>
    <w:rsid w:val="004A7E0A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0CBD"/>
    <w:rsid w:val="004C32BE"/>
    <w:rsid w:val="004C3F91"/>
    <w:rsid w:val="004C4493"/>
    <w:rsid w:val="004C45E2"/>
    <w:rsid w:val="004C4D0C"/>
    <w:rsid w:val="004C53B2"/>
    <w:rsid w:val="004C64EE"/>
    <w:rsid w:val="004C6FCE"/>
    <w:rsid w:val="004C7CDB"/>
    <w:rsid w:val="004C7E69"/>
    <w:rsid w:val="004C7F1D"/>
    <w:rsid w:val="004D0231"/>
    <w:rsid w:val="004D066D"/>
    <w:rsid w:val="004D1409"/>
    <w:rsid w:val="004D1852"/>
    <w:rsid w:val="004D1AAF"/>
    <w:rsid w:val="004D24E3"/>
    <w:rsid w:val="004D25DC"/>
    <w:rsid w:val="004D2645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28B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32E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61C"/>
    <w:rsid w:val="00513C29"/>
    <w:rsid w:val="00513FB7"/>
    <w:rsid w:val="00514A01"/>
    <w:rsid w:val="00514A89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139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57844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6F2"/>
    <w:rsid w:val="00573B96"/>
    <w:rsid w:val="0057408D"/>
    <w:rsid w:val="00574CC2"/>
    <w:rsid w:val="00574D98"/>
    <w:rsid w:val="0057515B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BA6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9F"/>
    <w:rsid w:val="005B28D1"/>
    <w:rsid w:val="005B29C6"/>
    <w:rsid w:val="005B425D"/>
    <w:rsid w:val="005B496D"/>
    <w:rsid w:val="005B52C4"/>
    <w:rsid w:val="005C026B"/>
    <w:rsid w:val="005C0790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63C6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467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6FE"/>
    <w:rsid w:val="00626803"/>
    <w:rsid w:val="006278F4"/>
    <w:rsid w:val="00627B98"/>
    <w:rsid w:val="00631305"/>
    <w:rsid w:val="00631F71"/>
    <w:rsid w:val="006328A6"/>
    <w:rsid w:val="00633181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BDE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28C4"/>
    <w:rsid w:val="00673184"/>
    <w:rsid w:val="00673B1B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202"/>
    <w:rsid w:val="006909A7"/>
    <w:rsid w:val="00690F0D"/>
    <w:rsid w:val="006913AD"/>
    <w:rsid w:val="006917AF"/>
    <w:rsid w:val="006919C1"/>
    <w:rsid w:val="0069283D"/>
    <w:rsid w:val="00692A50"/>
    <w:rsid w:val="00693997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5A46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2A42"/>
    <w:rsid w:val="006D341B"/>
    <w:rsid w:val="006D3542"/>
    <w:rsid w:val="006D4EA6"/>
    <w:rsid w:val="006D5240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B11"/>
    <w:rsid w:val="00706FB2"/>
    <w:rsid w:val="00707218"/>
    <w:rsid w:val="007074F5"/>
    <w:rsid w:val="00707DEE"/>
    <w:rsid w:val="00711A79"/>
    <w:rsid w:val="007125BE"/>
    <w:rsid w:val="0071294F"/>
    <w:rsid w:val="00712EA4"/>
    <w:rsid w:val="00712F85"/>
    <w:rsid w:val="00714B4F"/>
    <w:rsid w:val="007150E9"/>
    <w:rsid w:val="00715A9F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5714"/>
    <w:rsid w:val="0072615B"/>
    <w:rsid w:val="0072666A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A57"/>
    <w:rsid w:val="00747C35"/>
    <w:rsid w:val="0075027A"/>
    <w:rsid w:val="00751072"/>
    <w:rsid w:val="00751334"/>
    <w:rsid w:val="007513D6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331A"/>
    <w:rsid w:val="0076417D"/>
    <w:rsid w:val="00765BBE"/>
    <w:rsid w:val="00766061"/>
    <w:rsid w:val="007704F3"/>
    <w:rsid w:val="007710F2"/>
    <w:rsid w:val="007716E9"/>
    <w:rsid w:val="00772C13"/>
    <w:rsid w:val="00773060"/>
    <w:rsid w:val="00773513"/>
    <w:rsid w:val="0077365E"/>
    <w:rsid w:val="007741BD"/>
    <w:rsid w:val="0077473F"/>
    <w:rsid w:val="007755BB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97A9A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0701"/>
    <w:rsid w:val="007E11D7"/>
    <w:rsid w:val="007E1334"/>
    <w:rsid w:val="007E1AA0"/>
    <w:rsid w:val="007E1E4C"/>
    <w:rsid w:val="007E2C35"/>
    <w:rsid w:val="007E2D09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4876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782"/>
    <w:rsid w:val="008109CA"/>
    <w:rsid w:val="00812036"/>
    <w:rsid w:val="008137C4"/>
    <w:rsid w:val="00813D9B"/>
    <w:rsid w:val="008140EC"/>
    <w:rsid w:val="00814A2D"/>
    <w:rsid w:val="008165AC"/>
    <w:rsid w:val="00817095"/>
    <w:rsid w:val="008171AA"/>
    <w:rsid w:val="0082041F"/>
    <w:rsid w:val="00820E53"/>
    <w:rsid w:val="00821A95"/>
    <w:rsid w:val="00822077"/>
    <w:rsid w:val="00822A02"/>
    <w:rsid w:val="008231A9"/>
    <w:rsid w:val="0082357B"/>
    <w:rsid w:val="0082395F"/>
    <w:rsid w:val="00823B22"/>
    <w:rsid w:val="00823BFA"/>
    <w:rsid w:val="00824FA8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008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0819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3DE5"/>
    <w:rsid w:val="00885021"/>
    <w:rsid w:val="00885294"/>
    <w:rsid w:val="008853F8"/>
    <w:rsid w:val="00885B9B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97C3B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D59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5BF5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B6A"/>
    <w:rsid w:val="008F5F59"/>
    <w:rsid w:val="008F640B"/>
    <w:rsid w:val="008F79F2"/>
    <w:rsid w:val="008F7B57"/>
    <w:rsid w:val="0090242B"/>
    <w:rsid w:val="00903866"/>
    <w:rsid w:val="00904AC3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3342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BE9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3E6D"/>
    <w:rsid w:val="00934A46"/>
    <w:rsid w:val="00935BC3"/>
    <w:rsid w:val="00937266"/>
    <w:rsid w:val="00940AA9"/>
    <w:rsid w:val="00941264"/>
    <w:rsid w:val="0094143E"/>
    <w:rsid w:val="009424C1"/>
    <w:rsid w:val="00942522"/>
    <w:rsid w:val="0094296E"/>
    <w:rsid w:val="0094298C"/>
    <w:rsid w:val="009434E1"/>
    <w:rsid w:val="0094553A"/>
    <w:rsid w:val="00946CDC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7E1"/>
    <w:rsid w:val="00964BA2"/>
    <w:rsid w:val="00964F09"/>
    <w:rsid w:val="00966150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4987"/>
    <w:rsid w:val="00995A6D"/>
    <w:rsid w:val="00995DAD"/>
    <w:rsid w:val="00995F4D"/>
    <w:rsid w:val="00995FF5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56AA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032B"/>
    <w:rsid w:val="009E1F57"/>
    <w:rsid w:val="009E20EB"/>
    <w:rsid w:val="009E489A"/>
    <w:rsid w:val="009E4EB9"/>
    <w:rsid w:val="009E5212"/>
    <w:rsid w:val="009E6C19"/>
    <w:rsid w:val="009E6E2F"/>
    <w:rsid w:val="009E72FE"/>
    <w:rsid w:val="009F0845"/>
    <w:rsid w:val="009F1250"/>
    <w:rsid w:val="009F1461"/>
    <w:rsid w:val="009F1EDE"/>
    <w:rsid w:val="009F2CEE"/>
    <w:rsid w:val="009F2EF1"/>
    <w:rsid w:val="009F3F1F"/>
    <w:rsid w:val="009F426B"/>
    <w:rsid w:val="009F4ACC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530"/>
    <w:rsid w:val="00A0687B"/>
    <w:rsid w:val="00A06974"/>
    <w:rsid w:val="00A073B1"/>
    <w:rsid w:val="00A07888"/>
    <w:rsid w:val="00A07A81"/>
    <w:rsid w:val="00A10362"/>
    <w:rsid w:val="00A11268"/>
    <w:rsid w:val="00A11ADE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2DF4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19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1C72"/>
    <w:rsid w:val="00A7336C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21"/>
    <w:rsid w:val="00A96256"/>
    <w:rsid w:val="00A96A09"/>
    <w:rsid w:val="00AA0497"/>
    <w:rsid w:val="00AA0955"/>
    <w:rsid w:val="00AA09E9"/>
    <w:rsid w:val="00AA1E6A"/>
    <w:rsid w:val="00AA2744"/>
    <w:rsid w:val="00AA2A94"/>
    <w:rsid w:val="00AA3F55"/>
    <w:rsid w:val="00AA46E5"/>
    <w:rsid w:val="00AA46E6"/>
    <w:rsid w:val="00AA4E3C"/>
    <w:rsid w:val="00AA5FEE"/>
    <w:rsid w:val="00AA6624"/>
    <w:rsid w:val="00AA6E94"/>
    <w:rsid w:val="00AA7217"/>
    <w:rsid w:val="00AA7BC6"/>
    <w:rsid w:val="00AA7D6B"/>
    <w:rsid w:val="00AB03C3"/>
    <w:rsid w:val="00AB060C"/>
    <w:rsid w:val="00AB07BF"/>
    <w:rsid w:val="00AB0812"/>
    <w:rsid w:val="00AB09BC"/>
    <w:rsid w:val="00AB12D9"/>
    <w:rsid w:val="00AB1987"/>
    <w:rsid w:val="00AB299D"/>
    <w:rsid w:val="00AB2BF1"/>
    <w:rsid w:val="00AB3600"/>
    <w:rsid w:val="00AB3A4C"/>
    <w:rsid w:val="00AB3ACD"/>
    <w:rsid w:val="00AB3B7A"/>
    <w:rsid w:val="00AB3C5F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4F0F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161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4CC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36D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77C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926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6528"/>
    <w:rsid w:val="00B97115"/>
    <w:rsid w:val="00B976D7"/>
    <w:rsid w:val="00B97D25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60BC"/>
    <w:rsid w:val="00BA759D"/>
    <w:rsid w:val="00BA7968"/>
    <w:rsid w:val="00BA7B15"/>
    <w:rsid w:val="00BB0320"/>
    <w:rsid w:val="00BB2668"/>
    <w:rsid w:val="00BB3275"/>
    <w:rsid w:val="00BB32ED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62C"/>
    <w:rsid w:val="00BD1CC1"/>
    <w:rsid w:val="00BD2A68"/>
    <w:rsid w:val="00BD2E54"/>
    <w:rsid w:val="00BD5061"/>
    <w:rsid w:val="00BD5527"/>
    <w:rsid w:val="00BD589A"/>
    <w:rsid w:val="00BD5D53"/>
    <w:rsid w:val="00BD672B"/>
    <w:rsid w:val="00BD6ED4"/>
    <w:rsid w:val="00BD7564"/>
    <w:rsid w:val="00BE0818"/>
    <w:rsid w:val="00BE1277"/>
    <w:rsid w:val="00BE181E"/>
    <w:rsid w:val="00BE1A32"/>
    <w:rsid w:val="00BE2289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55E6"/>
    <w:rsid w:val="00BE725B"/>
    <w:rsid w:val="00BE7721"/>
    <w:rsid w:val="00BF094D"/>
    <w:rsid w:val="00BF0CB2"/>
    <w:rsid w:val="00BF1BF2"/>
    <w:rsid w:val="00BF1D36"/>
    <w:rsid w:val="00BF2436"/>
    <w:rsid w:val="00BF35E3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03C4"/>
    <w:rsid w:val="00C10E33"/>
    <w:rsid w:val="00C11959"/>
    <w:rsid w:val="00C1258B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3E3"/>
    <w:rsid w:val="00C168A4"/>
    <w:rsid w:val="00C168D7"/>
    <w:rsid w:val="00C1728D"/>
    <w:rsid w:val="00C1768D"/>
    <w:rsid w:val="00C202AC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4C9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1905"/>
    <w:rsid w:val="00C52389"/>
    <w:rsid w:val="00C53013"/>
    <w:rsid w:val="00C53D02"/>
    <w:rsid w:val="00C53E48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024"/>
    <w:rsid w:val="00C65465"/>
    <w:rsid w:val="00C65502"/>
    <w:rsid w:val="00C675EB"/>
    <w:rsid w:val="00C676EA"/>
    <w:rsid w:val="00C700FE"/>
    <w:rsid w:val="00C70EEC"/>
    <w:rsid w:val="00C72424"/>
    <w:rsid w:val="00C73E8B"/>
    <w:rsid w:val="00C74CD4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4C6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127"/>
    <w:rsid w:val="00CA0DA0"/>
    <w:rsid w:val="00CA1308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4B9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9F4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57D"/>
    <w:rsid w:val="00CE4870"/>
    <w:rsid w:val="00CE61C3"/>
    <w:rsid w:val="00CE6A0D"/>
    <w:rsid w:val="00CE71E6"/>
    <w:rsid w:val="00CE7284"/>
    <w:rsid w:val="00CE72B8"/>
    <w:rsid w:val="00CE76BE"/>
    <w:rsid w:val="00CF08AB"/>
    <w:rsid w:val="00CF0FEE"/>
    <w:rsid w:val="00CF2208"/>
    <w:rsid w:val="00CF2D11"/>
    <w:rsid w:val="00CF35E1"/>
    <w:rsid w:val="00CF3649"/>
    <w:rsid w:val="00CF3A89"/>
    <w:rsid w:val="00CF3E91"/>
    <w:rsid w:val="00CF4E7B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8CA"/>
    <w:rsid w:val="00D17BE1"/>
    <w:rsid w:val="00D20446"/>
    <w:rsid w:val="00D20EFA"/>
    <w:rsid w:val="00D2121B"/>
    <w:rsid w:val="00D215BF"/>
    <w:rsid w:val="00D21D0C"/>
    <w:rsid w:val="00D2332E"/>
    <w:rsid w:val="00D24201"/>
    <w:rsid w:val="00D242A6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365E8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4E7F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1876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1E96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87F36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8"/>
    <w:rsid w:val="00DB45FA"/>
    <w:rsid w:val="00DB5750"/>
    <w:rsid w:val="00DB5FB0"/>
    <w:rsid w:val="00DB6293"/>
    <w:rsid w:val="00DB6413"/>
    <w:rsid w:val="00DB657E"/>
    <w:rsid w:val="00DB793D"/>
    <w:rsid w:val="00DC1591"/>
    <w:rsid w:val="00DC206B"/>
    <w:rsid w:val="00DC2163"/>
    <w:rsid w:val="00DC2997"/>
    <w:rsid w:val="00DC3267"/>
    <w:rsid w:val="00DC34C2"/>
    <w:rsid w:val="00DC46DA"/>
    <w:rsid w:val="00DC495F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0C8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1E0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2A6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3F83"/>
    <w:rsid w:val="00E54271"/>
    <w:rsid w:val="00E5515A"/>
    <w:rsid w:val="00E552B0"/>
    <w:rsid w:val="00E55E39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34FA"/>
    <w:rsid w:val="00E63F7A"/>
    <w:rsid w:val="00E6537C"/>
    <w:rsid w:val="00E6556D"/>
    <w:rsid w:val="00E6597E"/>
    <w:rsid w:val="00E65C93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36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876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B754D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66E7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39A4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2A6D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288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100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02A6"/>
    <w:rsid w:val="00F6121D"/>
    <w:rsid w:val="00F6150C"/>
    <w:rsid w:val="00F61D08"/>
    <w:rsid w:val="00F61E3B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825"/>
    <w:rsid w:val="00F75C81"/>
    <w:rsid w:val="00F760BB"/>
    <w:rsid w:val="00F76A97"/>
    <w:rsid w:val="00F77B5A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048"/>
    <w:rsid w:val="00F83AB3"/>
    <w:rsid w:val="00F85856"/>
    <w:rsid w:val="00F859EC"/>
    <w:rsid w:val="00F85A23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10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1AE"/>
    <w:rsid w:val="00FE057F"/>
    <w:rsid w:val="00FE06ED"/>
    <w:rsid w:val="00FE0C63"/>
    <w:rsid w:val="00FE1064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29729D5D"/>
    <w:rsid w:val="2F6BED68"/>
    <w:rsid w:val="43E047CE"/>
    <w:rsid w:val="534BBEE2"/>
    <w:rsid w:val="5C10A11C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695B4BF5-AC12-4102-8985-FD694DC00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7757c461-07c7-44e1-99a5-77c6cc8be592"/>
    <ds:schemaRef ds:uri="eb403b6b-7b96-4fe7-afcc-b3d44ddfb7d8"/>
    <ds:schemaRef ds:uri="http://schemas.microsoft.com/sharepoint/v4"/>
  </ds:schemaRefs>
</ds:datastoreItem>
</file>

<file path=customXml/itemProps4.xml><?xml version="1.0" encoding="utf-8"?>
<ds:datastoreItem xmlns:ds="http://schemas.openxmlformats.org/officeDocument/2006/customXml" ds:itemID="{63155707-7BB1-4E66-A8A5-C854B60636E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375</Words>
  <Characters>2352</Characters>
  <Application>Microsoft Office Word</Application>
  <DocSecurity>0</DocSecurity>
  <Lines>52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Rivfloza 6200-A SGM 2023</vt:lpstr>
    </vt:vector>
  </TitlesOfParts>
  <Company/>
  <LinksUpToDate>false</LinksUpToDate>
  <CharactersWithSpaces>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Rivfloza SGM 6200-A</dc:title>
  <dc:subject>Rivfloza SGM 6200-A</dc:subject>
  <dc:creator>CVS Caremark</dc:creator>
  <cp:keywords/>
  <cp:lastModifiedBy>Ortiz, Erica M</cp:lastModifiedBy>
  <cp:revision>4</cp:revision>
  <cp:lastPrinted>2018-01-09T07:01:00Z</cp:lastPrinted>
  <dcterms:created xsi:type="dcterms:W3CDTF">2025-04-24T18:50:00Z</dcterms:created>
  <dcterms:modified xsi:type="dcterms:W3CDTF">2025-04-25T13:12:00Z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1052800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</Properties>
</file>